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B8" w:rsidRPr="005B64B8" w:rsidRDefault="005B64B8" w:rsidP="005B64B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</w:pPr>
      <w:r w:rsidRPr="005B64B8"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 xml:space="preserve">О новых подходах назначения адресной социальной </w:t>
      </w:r>
      <w:r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 xml:space="preserve">    </w:t>
      </w:r>
      <w:r w:rsidRPr="005B64B8"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>помощи (</w:t>
      </w:r>
      <w:r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 xml:space="preserve">АСП), внедряемых с </w:t>
      </w:r>
      <w:r w:rsidRPr="005B64B8"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>2025 года</w:t>
      </w:r>
    </w:p>
    <w:p w:rsidR="005B64B8" w:rsidRPr="005B64B8" w:rsidRDefault="005B64B8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хорошо известна адресная социальная помощь, предоставляемая малообеспеченным семьям.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 в обществе периодически возникают вопросы по механизму его предоставления. В рамках сегодняшнего встречи постараемся подробно рассказать об условиях оказания адресной социальной помощи и проговорить о планах на следующий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со среднедушевым доходом ниже черты бедности предоставляется адресная социальная помощь </w:t>
      </w:r>
      <w:r w:rsidRPr="005B64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– АСП)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 предусматривает оказание комплексной поддержки семье для вывода её из трудной жизненной ситуации.</w:t>
      </w:r>
    </w:p>
    <w:p w:rsidR="005B64B8" w:rsidRPr="005B64B8" w:rsidRDefault="005B64B8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B8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Во-первых,</w:t>
      </w:r>
      <w:r w:rsidRPr="005B64B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денежная выплата, которая классифицируется на 2 вида: безусловную и обусловленную денежную помощь.</w:t>
      </w:r>
    </w:p>
    <w:p w:rsidR="005B64B8" w:rsidRPr="005B64B8" w:rsidRDefault="005B64B8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Безусловная денежная помощь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предоставляется семьям с нетрудоспособными гражданами и для них обязательное участие в мерах занятости для получения пособия не требуется.</w:t>
      </w:r>
    </w:p>
    <w:p w:rsidR="005B64B8" w:rsidRPr="005B64B8" w:rsidRDefault="005B64B8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Обусловленная денежная помощь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предназначена семьям, имеющим в своем составе как минимум одного трудоспособного члена, который может трудоустроиться.</w:t>
      </w:r>
    </w:p>
    <w:p w:rsidR="005B64B8" w:rsidRPr="005B64B8" w:rsidRDefault="005B64B8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B8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во-вторых</w:t>
      </w: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меры по содействию занятости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4B8" w:rsidRPr="005B64B8" w:rsidRDefault="005B64B8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семьей заключается </w:t>
      </w: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контракт 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период назначения АСП. Расторжение контракта является основанием для прекращения выплаты АСП всей семье и отказа в назначении АСП в последующие шесть месяцев.</w:t>
      </w:r>
    </w:p>
    <w:p w:rsidR="005B64B8" w:rsidRPr="005B64B8" w:rsidRDefault="005B64B8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B8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в-третьих,</w:t>
      </w:r>
      <w:r w:rsidRPr="005B64B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из малообеспеченных семей в возрасте от 1 года до 6 лет включительно предоставляется дополнительная выплата в размере 1,5 месячного расчетного показателя </w:t>
      </w:r>
      <w:r w:rsidRPr="005B64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(5 538 тенге в 2024 году)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4B8" w:rsidRPr="005B64B8" w:rsidRDefault="005B64B8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Главы государства в 2019 году механизм АСП был скорректирован для обеспечения прозрачности, справедливости, мотивации к труду.</w:t>
      </w:r>
    </w:p>
    <w:p w:rsidR="005B64B8" w:rsidRDefault="005B64B8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2023 году АСП получили </w:t>
      </w: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1497 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или </w:t>
      </w: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8456 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на общую сумму </w:t>
      </w: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994.4 млн.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тенге.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12 месяцев 2024 года численность получателей АСП составила </w:t>
      </w: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7328.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 или </w:t>
      </w: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1281.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государственного бюджета выплачено </w:t>
      </w: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797,0 млн. 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ежегодно наблюдаем снижение численности получателей АСП.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Главной целью АСП является вывод из круга бедности путем вовлечения трудоспособных граждан в меры занятости, мотивации к труду.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B64B8" w:rsidRPr="005B64B8" w:rsidRDefault="005B64B8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Социальным кодексом основной задачей перед Министерством </w:t>
      </w:r>
      <w:r w:rsidR="0010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стоит оцифровка деятельности участковой комиссии.</w:t>
      </w:r>
    </w:p>
    <w:p w:rsidR="005B64B8" w:rsidRPr="005B64B8" w:rsidRDefault="00106F10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АСП участковыми комиссиями выносится заключение </w:t>
      </w:r>
      <w:r w:rsid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нуждаемости в оказании АСП на основе проведенного обследования материального положения семьи. На сегодня данное обследование проводится </w:t>
      </w:r>
      <w:r w:rsid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формате и требует организационных мер для подписания.</w:t>
      </w:r>
      <w:r w:rsid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целях автоматизации и исключения формального подхода при проведении обследования для участковых комиссий разработано мобильное приложение FSM </w:t>
      </w:r>
      <w:proofErr w:type="spellStart"/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Social</w:t>
      </w:r>
      <w:proofErr w:type="spellEnd"/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мобильного приложения член участковой комиссии все данные по материальному положению семьи заносит в нее, выносит предварительное заключение и направляет другим членам участковой комиссии на подписание.</w:t>
      </w:r>
      <w:r w:rsid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 пилот по апробации мобильного приложения проходит в городе </w:t>
      </w:r>
      <w:proofErr w:type="spellStart"/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Конаев</w:t>
      </w:r>
      <w:proofErr w:type="spellEnd"/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Алматинской</w:t>
      </w:r>
      <w:proofErr w:type="spellEnd"/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  <w:r w:rsid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2025 года планируется внедрение мобильного приложения по всей стране.</w:t>
      </w:r>
      <w:r w:rsid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Преимуществом внедрения мобильного приложения является:</w:t>
      </w:r>
      <w:r w:rsid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spellStart"/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геолокации</w:t>
      </w:r>
      <w:proofErr w:type="spellEnd"/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(реальное географическое местоположение заявителя);</w:t>
      </w:r>
      <w:r w:rsid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принятие решения и упрощение процедуры вынесения заключения;</w:t>
      </w:r>
      <w:r w:rsid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формального подхода при проведении обследования </w:t>
      </w:r>
      <w:r w:rsid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B64B8"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вынесении решения.</w:t>
      </w:r>
    </w:p>
    <w:p w:rsidR="005B64B8" w:rsidRPr="005B64B8" w:rsidRDefault="005B64B8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 февраля 2024 года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расширенном заседании Правительства Глава государства поручил принять меры по </w:t>
      </w: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совершенствованию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еханизма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предоставления социальной помощи населению с учетом определения </w:t>
      </w: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совокупных доходов и расходов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реально нуждающихся граждан. Во исполнение данного поручения разработаны поправки в Социальный кодекс, которые направлены на рассмотрение в Правительство.</w:t>
      </w:r>
    </w:p>
    <w:p w:rsidR="005B64B8" w:rsidRPr="005B64B8" w:rsidRDefault="005B64B8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АСП предлагается дополнить критерии определения нуждаемости в назначении АСП следующими критериями:</w:t>
      </w:r>
    </w:p>
    <w:p w:rsidR="005B64B8" w:rsidRPr="005B64B8" w:rsidRDefault="005B64B8" w:rsidP="005B64B8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жилища и (или) легкового автомобиля;</w:t>
      </w:r>
    </w:p>
    <w:p w:rsidR="005B64B8" w:rsidRPr="005B64B8" w:rsidRDefault="005B64B8" w:rsidP="005B64B8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банковских займов и (или) </w:t>
      </w:r>
      <w:proofErr w:type="spellStart"/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микрокредитов</w:t>
      </w:r>
      <w:proofErr w:type="spellEnd"/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ипотечного займа в размере выше одного прожиточного минимума на каждого члена семьи в месяц;</w:t>
      </w:r>
    </w:p>
    <w:p w:rsidR="005B64B8" w:rsidRPr="005B64B8" w:rsidRDefault="005B64B8" w:rsidP="005B64B8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расходных операций по банковским счетам лица (семьи),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превышающих черту бедности на каждого члена семьи в месяц;</w:t>
      </w:r>
    </w:p>
    <w:p w:rsidR="005B64B8" w:rsidRPr="005B64B8" w:rsidRDefault="005B64B8" w:rsidP="005B64B8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сберегательного вклада, депозита в размере более 200 МРП на семью, за исключением ипотечного депозита.</w:t>
      </w:r>
    </w:p>
    <w:p w:rsidR="005B64B8" w:rsidRPr="005B64B8" w:rsidRDefault="005B64B8" w:rsidP="005B64B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 планируется запустить </w:t>
      </w: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пилотный проект по апробированию механизма учета расходов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 с получением согласия лиц, претендующих на АСП.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обращаясь в уполномоченный орган за получением АСП, подает заявление на участие в пилотном проекте. После этого всем совершеннолетним лицам, входящим в состав семьи заявителя, на личные номера телефонов отправляется </w:t>
      </w:r>
      <w:proofErr w:type="spellStart"/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-уведомление с номера 1414, на которое они должны ответить в течение одного рабочего 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получение информации осуществляется только по предоставлению заявителем согласия и через информационные системы госорганов и организации в агрегированном виде.</w:t>
      </w:r>
    </w:p>
    <w:p w:rsidR="005B64B8" w:rsidRPr="005B64B8" w:rsidRDefault="005B64B8" w:rsidP="005B64B8">
      <w:pPr>
        <w:shd w:val="clear" w:color="auto" w:fill="FFFFFF"/>
        <w:spacing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F1683E" w:rsidRPr="00B93C28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2025 </w:t>
      </w:r>
      <w:proofErr w:type="spellStart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жылдан</w:t>
      </w:r>
      <w:proofErr w:type="spellEnd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бастап</w:t>
      </w:r>
      <w:proofErr w:type="spellEnd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енгізіліп</w:t>
      </w:r>
      <w:proofErr w:type="spellEnd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жатқан</w:t>
      </w:r>
      <w:proofErr w:type="spellEnd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атаулы</w:t>
      </w:r>
      <w:proofErr w:type="spellEnd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әлеуметтік</w:t>
      </w:r>
      <w:proofErr w:type="spellEnd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көмекті</w:t>
      </w:r>
      <w:proofErr w:type="spellEnd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(</w:t>
      </w:r>
      <w:proofErr w:type="spellStart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бұдан</w:t>
      </w:r>
      <w:proofErr w:type="spellEnd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әрі</w:t>
      </w:r>
      <w:proofErr w:type="spellEnd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– АӘК) </w:t>
      </w:r>
      <w:proofErr w:type="spellStart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тағайындаудың</w:t>
      </w:r>
      <w:proofErr w:type="spellEnd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жаңа</w:t>
      </w:r>
      <w:proofErr w:type="spellEnd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тәсілдері</w:t>
      </w:r>
      <w:proofErr w:type="spellEnd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туралы</w:t>
      </w:r>
      <w:proofErr w:type="spellEnd"/>
      <w:r w:rsidRPr="00B93C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Бүгінде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елімізде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аз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қамтылған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отбасыларға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атаулы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әлеуметтік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бәріне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мәлім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Қоғамда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дегенмен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оны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ұсыну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тетігі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сұрақтар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көтеріліп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отырады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Осының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аясында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атаулы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әлеуметтік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шарттары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егжей-тегжейл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іақпарат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беріп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келесі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жылға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арналған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өз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жоспарлар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атап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қажет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Жан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басына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шаққандағы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орташа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табысы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кедейлік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шегінен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төмен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отбасыларға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атаулы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әлеуметтік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беріледі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АӘК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өмірдегі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қиын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жағдайдан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шығару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отбасына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кешенді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қолдау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көздейді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3F0A0A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Біріншіден</w:t>
      </w:r>
      <w:proofErr w:type="spellEnd"/>
      <w:r w:rsidRPr="003F0A0A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,</w:t>
      </w:r>
      <w:r w:rsidRPr="003F0A0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бұл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2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түрге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жіктелген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ақшалай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төлем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: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шартсыз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шартты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ақшалай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Еңбекке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қабілетсіз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азаматтары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бар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отбасыларға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шартсыз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ақшалай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көмек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олар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жәрдемақы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жұмыспен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қамту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шараларына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міндетті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түрде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қатысу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талап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етілмейді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Шартты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ақшалай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көмек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құрамында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кемінде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еңбекке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қабілетті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мүшесі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жұмысқа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орналасқан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отбасыларға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беріледі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3F0A0A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Екіншіден</w:t>
      </w:r>
      <w:proofErr w:type="spellEnd"/>
      <w:r w:rsidRPr="003F0A0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жұмыспен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қамтуға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жәр</w:t>
      </w:r>
      <w:bookmarkStart w:id="0" w:name="_GoBack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</w:t>
      </w:r>
      <w:bookmarkEnd w:id="0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емдесу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жөніндегі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шаралар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АӘК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тағайындаудың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барлық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кезеңіне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отбасымен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әлеуметтік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келісімшарт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жасалады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Келісімшартты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бұзу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бүкіл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отбасына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АӘК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төлеуді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тоқтату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келесі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алты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айда АӘК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тағайындаудан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бас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тарту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негіз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болып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табылады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3F0A0A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Үшіншіден</w:t>
      </w:r>
      <w:proofErr w:type="spellEnd"/>
      <w:r w:rsidRPr="003F0A0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аз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қамтылған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отбасылардан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шыққан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жастан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6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жасты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алғанға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дейін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балаға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1,5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айлық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есептік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көрсеткіш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(2024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5 538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теңге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мөлшерінде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қосымша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төлем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беріледі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басшысының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тапсырмасы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2019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АӘК беру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тетігі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ашықтықты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әділдікті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еңбекке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ынталандыруды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қамтамасыз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қайта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қаралды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Осылайша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2023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Панфилов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АӘК-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жалпы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сомасы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994,4 млн</w:t>
      </w: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теңгеге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1497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8456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адам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2024 12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айдың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қорытындысы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АӘК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алушылар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7328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адамды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1281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құрады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бюджеттен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797,0 млн. 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теңге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төленді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Бұл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ретте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біз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АӘК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алушылар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санын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сайын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төмендегенін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байқаймыз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АӘК-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тің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басты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мақсаты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еңбекке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қабілетті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азаматтарды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жұмыспен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қамту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шараларына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тарту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еңбекке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ынталандыру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арқылы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кедейлік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шеңберінен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шығару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болып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табылады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2025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Министрлік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алдында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қойылған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негізгі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міндет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учаскелік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комиссияның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цифрландыру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болып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табылады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АӘК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тағайындау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кезінде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учаскелік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комиссиялар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отбасының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материалдық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жағдайына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жүргізілген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тексеру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негізінде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АӘК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қажеттілігі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қорытынды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шығарады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Бүгінгі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таңда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бұл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зерттеу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қағаз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түрінде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жүргізіледі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қол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қою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ұйымдастырушылық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шараларды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қажет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етеді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Осылайша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тексеру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жүргізу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кезінде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формальды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тәсілді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болдырмау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автоматтандыру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мақсатында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учаскелік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комиссиялар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FSM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Social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мобильдік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қосымшасы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әзірленді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Мобильді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қосымшаны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пайдалану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кезінде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учаскелік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комиссияның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мүшесі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отбасының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материалдық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жағдайы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барлық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деректерді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оған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енгізеді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алдын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ала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қорытынды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шығарады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учаскелік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комиссияның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басқа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мүшелеріне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қол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қоюға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жібереді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Бүгінде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мобильді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қосымшаны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апробациялау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пилоттық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жоба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Алматы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облысының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Қонаев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қаласында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өтуде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2025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жылдың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қаңтарынан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бастап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бүкіл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ел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мобильді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қосымшаны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енгізу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жоспарлануда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Мобильді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қосымшаны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енгізудің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артықшылығы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геолокацияны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анықтау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өтініш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берушінің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нақты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географиялық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орны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);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жедел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шешім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қабылдау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қорытынды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шығару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рәсімін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оңайлату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зерттеу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жүргізу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шешім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шығару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кезінде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формальды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тәсілді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алып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тастау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Сондай-ақ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ағымдағы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жылғы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7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ақпанда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Үкіметтің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кеңейтілген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отырысында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басшысы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нақты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мұқтаж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азаматтардың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жиынтық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кірістері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мен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шығыстарын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айқындауды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ескере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отырып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халыққа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әлеуметтік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тетігін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жетілдіру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жөні</w:t>
      </w:r>
      <w:r w:rsid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нде</w:t>
      </w:r>
      <w:proofErr w:type="spellEnd"/>
      <w:r w:rsid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шаралар</w:t>
      </w:r>
      <w:proofErr w:type="spellEnd"/>
      <w:r w:rsid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қабылдауды</w:t>
      </w:r>
      <w:proofErr w:type="spellEnd"/>
      <w:r w:rsid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тапсырды</w:t>
      </w:r>
      <w:proofErr w:type="spellEnd"/>
      <w:r w:rsid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Осы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тапсырманы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орындау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Әлеуметтік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кодекске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түзетулер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әзірленді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олар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Үкіметтің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қарауына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жіберілді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АӘК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тағайындау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кезінде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АӘК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тағайындау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қажеттілігін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айқындау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өлшемшарттарын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мынадай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өлшемшарттармен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толықтыру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ұсынылады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F1683E" w:rsidRPr="00B93C28" w:rsidRDefault="00F1683E" w:rsidP="00B93C28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тұрғын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үй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жеңіл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автокөлік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сатып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F1683E" w:rsidRPr="00B93C28" w:rsidRDefault="00F1683E" w:rsidP="00B93C28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отбасының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әрбір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мүшесіне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айына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ең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төмен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күнкөріс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деңгейінен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жоғары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мөлшердегі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ипотекалық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қарызды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қоспағанда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банктік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қарыздарды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микрокредиттерді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ресімдеу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F1683E" w:rsidRPr="00B93C28" w:rsidRDefault="00F1683E" w:rsidP="00B93C28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жиынтығында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отбасының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әрбір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мүшесіне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айына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кедейлік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шегінен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асатын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адамның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отбасының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банктік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шоттары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шығыс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операцияларының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болуы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F1683E" w:rsidRPr="00B93C28" w:rsidRDefault="00F1683E" w:rsidP="00B93C28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ипотекалық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депозитті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қоспағанда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отбасына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200 АЕК-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тен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астам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мөлшердегі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жинақ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салымының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депозиттің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болуы</w:t>
      </w:r>
      <w:proofErr w:type="spellEnd"/>
      <w:r w:rsidRPr="00B93C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2025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жылғы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қаңтардан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бастап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АӘК-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үміткер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адамдардың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келісімін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ала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отырып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 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азаматтардың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шығыстарын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есепке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алу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тетігін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сынақтанөткізу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пилоттық</w:t>
      </w:r>
      <w:proofErr w:type="spellEnd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жобасын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іске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жоспарлануда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Өтініш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беруші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АӘК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уәкілетті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органға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жүгініп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пилоттық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жобаға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қатысуға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өтініш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береді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Осыдан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кейін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өтініш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берушінің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отбасы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құрамына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кіретін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барлық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кәмелетке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толған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адамдарға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жеке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телефон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нөмірлеріне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1414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нөмірінен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sms-хабарлама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жіберіледі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оған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олар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жұмыс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күні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ішінде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жауап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беруге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тиіс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1683E" w:rsidRPr="00F1683E" w:rsidRDefault="00F1683E" w:rsidP="00F168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Ақпараталу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өтініш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берушінің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келісімі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органдар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мен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ұйымдардың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ақпараттық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жүйелері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арқылы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жүзеге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асырылатының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айта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кету </w:t>
      </w:r>
      <w:proofErr w:type="spellStart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керек</w:t>
      </w:r>
      <w:proofErr w:type="spellEnd"/>
      <w:r w:rsidRPr="00F168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633411" w:rsidRPr="005B64B8" w:rsidRDefault="00633411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633411" w:rsidRPr="005B64B8" w:rsidSect="005B64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B7A"/>
    <w:multiLevelType w:val="hybridMultilevel"/>
    <w:tmpl w:val="0F08F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376FB"/>
    <w:multiLevelType w:val="hybridMultilevel"/>
    <w:tmpl w:val="8FA0997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9A"/>
    <w:rsid w:val="00106F10"/>
    <w:rsid w:val="0010799A"/>
    <w:rsid w:val="003F0A0A"/>
    <w:rsid w:val="005B64B8"/>
    <w:rsid w:val="00633411"/>
    <w:rsid w:val="00B93C28"/>
    <w:rsid w:val="00F1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F5E07-00C1-4E7B-AE15-4E87A661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view-count">
    <w:name w:val="article-view-count"/>
    <w:basedOn w:val="a"/>
    <w:rsid w:val="005B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4B8"/>
    <w:rPr>
      <w:b/>
      <w:bCs/>
    </w:rPr>
  </w:style>
  <w:style w:type="character" w:styleId="a5">
    <w:name w:val="Emphasis"/>
    <w:basedOn w:val="a0"/>
    <w:uiPriority w:val="20"/>
    <w:qFormat/>
    <w:rsid w:val="005B64B8"/>
    <w:rPr>
      <w:i/>
      <w:iCs/>
    </w:rPr>
  </w:style>
  <w:style w:type="paragraph" w:styleId="a6">
    <w:name w:val="List Paragraph"/>
    <w:basedOn w:val="a"/>
    <w:uiPriority w:val="34"/>
    <w:qFormat/>
    <w:rsid w:val="005B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9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МШЛ3</dc:creator>
  <cp:keywords/>
  <dc:description/>
  <cp:lastModifiedBy>МШЛ3</cp:lastModifiedBy>
  <cp:revision>8</cp:revision>
  <dcterms:created xsi:type="dcterms:W3CDTF">2025-01-20T06:12:00Z</dcterms:created>
  <dcterms:modified xsi:type="dcterms:W3CDTF">2025-01-22T10:28:00Z</dcterms:modified>
</cp:coreProperties>
</file>